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9" w:lineRule="auto"/>
        <w:ind w:right="3087" w:firstLine="3089"/>
        <w:rPr/>
      </w:pPr>
      <w:r w:rsidDel="00000000" w:rsidR="00000000" w:rsidRPr="00000000">
        <w:rPr>
          <w:rtl w:val="0"/>
        </w:rPr>
        <w:t xml:space="preserve">PATTO DI INTEGRITA’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5" w:lineRule="auto"/>
        <w:ind w:left="113"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RUP: Monica Martignon</w:t>
      </w:r>
    </w:p>
    <w:p w:rsidR="00000000" w:rsidDel="00000000" w:rsidP="00000000" w:rsidRDefault="00000000" w:rsidRPr="00000000" w14:paraId="00000004">
      <w:pPr>
        <w:spacing w:before="95" w:lineRule="auto"/>
        <w:ind w:left="113" w:right="-759.9212598425191"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Lotto 1 –</w:t>
      </w:r>
      <w:r w:rsidDel="00000000" w:rsidR="00000000" w:rsidRPr="00000000">
        <w:rPr>
          <w:rFonts w:ascii="Calibri" w:cs="Calibri" w:eastAsia="Calibri" w:hAnsi="Calibri"/>
          <w:b w:val="1"/>
          <w:rtl w:val="0"/>
        </w:rPr>
        <w:t xml:space="preserve"> Abbonamento a Periodici stranieri e servizi gestionali connessi - CIG A013899789</w:t>
      </w:r>
      <w:r w:rsidDel="00000000" w:rsidR="00000000" w:rsidRPr="00000000">
        <w:rPr>
          <w:rFonts w:ascii="Arial" w:cs="Arial" w:eastAsia="Arial" w:hAnsi="Arial"/>
          <w:b w:val="1"/>
          <w:sz w:val="18"/>
          <w:szCs w:val="18"/>
          <w:rtl w:val="0"/>
        </w:rPr>
        <w:t xml:space="preserve"> - importo 720.000,00 + iva</w:t>
      </w:r>
    </w:p>
    <w:p w:rsidR="00000000" w:rsidDel="00000000" w:rsidP="00000000" w:rsidRDefault="00000000" w:rsidRPr="00000000" w14:paraId="00000005">
      <w:pPr>
        <w:spacing w:before="95" w:lineRule="auto"/>
        <w:ind w:left="113" w:right="-759.9212598425191"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13" w:right="-759.9212598425191"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Lotto 2 - </w:t>
      </w:r>
      <w:r w:rsidDel="00000000" w:rsidR="00000000" w:rsidRPr="00000000">
        <w:rPr>
          <w:rFonts w:ascii="Calibri" w:cs="Calibri" w:eastAsia="Calibri" w:hAnsi="Calibri"/>
          <w:b w:val="1"/>
          <w:rtl w:val="0"/>
        </w:rPr>
        <w:t xml:space="preserve">Abbonamento a Periodici italiani e servizi gestionali connessi - CIG A0138C3A31</w:t>
      </w:r>
      <w:r w:rsidDel="00000000" w:rsidR="00000000" w:rsidRPr="00000000">
        <w:rPr>
          <w:rFonts w:ascii="Arial" w:cs="Arial" w:eastAsia="Arial" w:hAnsi="Arial"/>
          <w:b w:val="1"/>
          <w:sz w:val="18"/>
          <w:szCs w:val="18"/>
          <w:rtl w:val="0"/>
        </w:rPr>
        <w:t xml:space="preserve"> - importo 75.000,00 + iva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13"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13"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Relativo alla gara a procedura aperta per l’affidamento per l’affidamento della Fornitura di periodici editi da editori italiani e stranieri e dei servizi gestionali connessi per il triennio 2024-2026 con opzione di rinnovo per ulteriori due anni, per l’Università iuav di Venezia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42"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8" w:right="3088"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00"/>
        </w:tabs>
        <w:spacing w:after="0" w:before="179" w:line="240" w:lineRule="auto"/>
        <w:ind w:left="114" w:right="11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L’Università Iuav di Venezia (di seguito denominata Stazione Appaltante o Università), con sede a 30135 Venezia, Santa Croce 191, codice fiscale 80009280274, partita IVA IT00708670278, nella persona del rettore pro-tempore prof</w:t>
        <w:tab/>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domiciliato per la carica presso l’Università Iuav – Santa Croce, 191 – 30135 Venezia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40"/>
          <w:tab w:val="left" w:leader="none" w:pos="6966"/>
          <w:tab w:val="left" w:leader="none" w:pos="7773"/>
          <w:tab w:val="left" w:leader="none" w:pos="9231"/>
        </w:tabs>
        <w:spacing w:after="0" w:before="0" w:line="240" w:lineRule="auto"/>
        <w:ind w:left="113" w:right="11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L’impresa……………….…………………..………………………………………….</w:t>
        <w:tab/>
        <w:t xml:space="preserve">(di</w:t>
        <w:tab/>
        <w:t xml:space="preserve">seguito</w:t>
        <w:tab/>
        <w:t xml:space="preserve">denominato  Operatore Economico), con sede legale in ………………………….., via ………………………………………….…… n</w:t>
        <w:tab/>
        <w:t xml:space="preserve">codice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12"/>
        </w:tabs>
        <w:spacing w:after="0" w:before="0" w:line="240" w:lineRule="auto"/>
        <w:ind w:left="11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fiscale/P.IVA ……………………….………, rappresentata da</w:t>
        <w:tab/>
        <w:t xml:space="preserve">in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qualità di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3088" w:right="3088"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VISTI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3"/>
        </w:tabs>
        <w:spacing w:after="0" w:before="0" w:line="240" w:lineRule="auto"/>
        <w:ind w:left="114" w:right="113" w:hanging="0.9999999999999964"/>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legge 6 novembre 2012 n. 190, recante “Disposizioni per la prevenzione e la repressione della corruzione e dell'illegalità nella pubblica amministrazione”, e in particolare l’art. 1, comma 17, laddove dispone che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“le stazioni appaltanti possono prevedere negli avvisi, bandi di gara o lettere di invito che il mancato rispetto delle clausole contenute nei protocolli di legalità o nei patti di integrità costituisce causa di esclusione dalla gara”</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8"/>
        </w:tabs>
        <w:spacing w:after="0" w:before="0" w:line="240" w:lineRule="auto"/>
        <w:ind w:left="114" w:right="115" w:firstLine="0"/>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decreto legge n. 76/2020, cd. Decreto Semplificazioni, come convertito con legge n. 120/2020, ha inserito nel d.lgs. 159/2011, c.d. Codice antimafia, l’art. 83-bis, che, al comma 3, statuisce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“le stazioni appaltanti prevedono negli avvisi, bandi di gara o lettere d’invito che il mancato rispetto dei protocolli di legalità costituisce causa di esclusione dalla gara o di risoluzione del contratto”</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4"/>
        </w:tabs>
        <w:spacing w:after="0" w:before="1" w:line="240" w:lineRule="auto"/>
        <w:ind w:left="114" w:right="113" w:firstLine="0"/>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Piano Nazionale Anticorruzione (P.N.A.) approvato dall’Autorità Nazionale Anticorruzione (ANAC) con delibera numero 1064 del 13 novembre 2019, come modificato con i successivi aggiornamenti;</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9"/>
        </w:tabs>
        <w:spacing w:after="0" w:before="180" w:line="240" w:lineRule="auto"/>
        <w:ind w:left="114" w:right="116" w:firstLine="0"/>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le Linee Guida ANAC n. 15, recanti “Individuazione e gestione dei conflitti di interesse nelle procedure di affidamento di contratti pubblici”, approvate dal Consiglio dell’Autorità con delibera n. 494 del 05 giugno 2019;</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5"/>
        </w:tabs>
        <w:spacing w:after="0" w:before="179" w:line="240" w:lineRule="auto"/>
        <w:ind w:left="224" w:right="0" w:hanging="111"/>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vigente piano triennale di prevenzione della corruzione e della trasparenza dell’Università Iuav di Venezia;</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9"/>
        </w:tabs>
        <w:spacing w:after="0" w:before="180" w:line="240" w:lineRule="auto"/>
        <w:ind w:left="114" w:right="116" w:firstLine="0"/>
        <w:jc w:val="both"/>
      </w:pPr>
      <w:r w:rsidDel="00000000" w:rsidR="00000000" w:rsidRPr="00000000">
        <w:rPr>
          <w:sz w:val="18"/>
          <w:szCs w:val="18"/>
          <w:rtl w:val="0"/>
        </w:rPr>
        <w:t xml:space="preserve">il</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Codice etico e di comportamento dell’Università Iuav di Venezia (emanato con decreto rettorale 1 febbraio 2022 n. 52);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9"/>
        </w:tabs>
        <w:spacing w:after="0" w:before="180" w:line="240" w:lineRule="auto"/>
        <w:ind w:left="114" w:right="116"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PREMESSO</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8"/>
          <w:tab w:val="left" w:leader="none" w:pos="8347"/>
        </w:tabs>
        <w:spacing w:after="0" w:before="0" w:line="207" w:lineRule="auto"/>
        <w:ind w:left="227" w:right="0" w:hanging="114"/>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che l’Università Iuav di Venezia, con delibera del Consiglio di Amministrazione n. 193/2022 ha approvato uno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5"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schema di patto di integrità da sottoporre alla firma degli operatori economici che intendono partecipare alle procedure di affidamento di lavori, servizi e forniture indette dall’Ateneo;</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73"/>
        </w:tabs>
        <w:spacing w:after="0" w:before="179" w:line="240" w:lineRule="auto"/>
        <w:ind w:left="114" w:right="112" w:firstLine="49.999999999999986"/>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che la consegna del presente documento da parte dell’Operatore economico costituisce condizione di ammissione alla procedura di affidamento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9" w:right="3085"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SI CONVIENE QUANTO SEGUE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right="3083" w:firstLine="3089"/>
        <w:rPr/>
      </w:pPr>
      <w:r w:rsidDel="00000000" w:rsidR="00000000" w:rsidRPr="00000000">
        <w:rPr>
          <w:rtl w:val="0"/>
        </w:rPr>
        <w:t xml:space="preserve">Articolo 1 (Ambito di applicazione)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presente Patto di Integrità si applica a qualsiasi procedura di affidamento di appalti di lavori, servizi e forniture, nonché di concessioni di lavori e servizi, con importo superiore alla soglia dell’affidamento diretto, per i quali la sua applicazione è facoltativa.</w:t>
      </w:r>
    </w:p>
    <w:p w:rsidR="00000000" w:rsidDel="00000000" w:rsidP="00000000" w:rsidRDefault="00000000" w:rsidRPr="00000000" w14:paraId="0000002B">
      <w:pPr>
        <w:pStyle w:val="Heading1"/>
        <w:spacing w:before="180" w:lineRule="auto"/>
        <w:ind w:right="3088" w:firstLine="3089"/>
        <w:rPr/>
      </w:pPr>
      <w:r w:rsidDel="00000000" w:rsidR="00000000" w:rsidRPr="00000000">
        <w:rPr>
          <w:rtl w:val="0"/>
        </w:rPr>
        <w:t xml:space="preserve">Articolo 2 (Oggetto e obblighi delle parti)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21"/>
        </w:tabs>
        <w:spacing w:after="0" w:before="1" w:line="240" w:lineRule="auto"/>
        <w:ind w:left="114" w:right="11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presente Patto di Integrità stabilisce la reciproca, formale obbligazione dell’Università e dell’Operatore economico di conformare i propri comportamenti ai principi di lealtà, trasparenza e correttezza nonché l’espresso impegno anticorruzione di non offrire, accettare o richiedere somme di denaro o qualsiasi altra ricompensa, vantaggio o beneficio, sia direttamente sia indirettamente tramite intermediari, al fine dell’assegnazione del contratto e/o al fine di distorcerne la relativa corretta esecuzione o valutazione del procedimento da parte della Stazione Appaltante.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8"/>
        </w:tabs>
        <w:spacing w:after="0" w:before="0" w:line="240" w:lineRule="auto"/>
        <w:ind w:left="114" w:right="114" w:firstLine="0"/>
        <w:jc w:val="both"/>
        <w:rPr>
          <w:rFonts w:ascii="Arial MT" w:cs="Arial MT" w:eastAsia="Arial MT" w:hAnsi="Arial MT"/>
          <w:b w:val="0"/>
          <w:i w:val="0"/>
          <w:smallCaps w:val="0"/>
          <w:strike w:val="0"/>
          <w:color w:val="000000"/>
          <w:sz w:val="18"/>
          <w:szCs w:val="18"/>
          <w:u w:val="none"/>
          <w:shd w:fill="auto" w:val="clear"/>
          <w:vertAlign w:val="baseline"/>
        </w:rPr>
        <w:sectPr>
          <w:footerReference r:id="rId7" w:type="default"/>
          <w:pgSz w:h="16840" w:w="11910" w:orient="portrait"/>
          <w:pgMar w:bottom="920" w:top="1440" w:left="1020" w:right="1020" w:header="720" w:footer="734"/>
          <w:pgNumType w:start="1"/>
        </w:sect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si impegna a presentare all’Università il presente patto, debitamente sottoscritto, entro il termine fissato per la presentazione delle offerte nonché a produrre, una preventiva dichiarazione sostitutiva in merito alla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3" w:right="11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sussistenza di possibili conflitti di interesse, di cui sia a conoscenza, rispetto ai soggetti che intervengono nella procedura o nella fase esecutiva e a comunicare, con la massima tempestività, l’esistenza di qualsiasi conflitto di interesse che insorga successivamente.</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17"/>
        </w:tabs>
        <w:spacing w:after="0" w:before="179" w:line="240" w:lineRule="auto"/>
        <w:ind w:left="114" w:right="112" w:hanging="0.9999999999999964"/>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si impegna ad astenersi e a segnalare all’Università qualsiasi tentativo di turbativa, irregolarità o distorsione nelle fasi di svolgimento della procedura e/o durante l’esecuzione del contratto da parte di ogni interessato o addetto o di chiunque possa influenzare le decisioni relative alla procedura in oggetto o di contratto.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8"/>
        </w:tabs>
        <w:spacing w:after="0" w:before="0" w:line="240" w:lineRule="auto"/>
        <w:ind w:left="114" w:right="113" w:hanging="0.9999999999999964"/>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dichiara che non si è accordato e non si accorderà con altri soggetti interessati all’assegnazione del contratto per limitare in alcun modo la concorrenza. L’Operatore economico sarà ritenuto responsabile nei confronti dell’Università Iuav di Venezia del comportamento dei soggetti allo stesso collegati.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3"/>
        </w:tabs>
        <w:spacing w:after="0" w:before="0" w:line="240" w:lineRule="auto"/>
        <w:ind w:left="114" w:right="112" w:hanging="0.9999999999999964"/>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dichiara, ai fini dell’applicazione dell’art. 53, comma 16-ter d.lgs. n. 165/2001, di non aver concluso contratti di lavoro subordinato o autonomo e di non aver attribuito incarichi ad ex dipendenti della Pubblica Amministrazione che abbiano esercitato poteri autoritativi o negoziali per conto delle Pubbliche Amministrazioni nei propri confronti, nel triennio successivo alla cessazione del rapporto e di essere consapevole che, qualora emerga la predetta situazione, verrà disposta l’esclusione dalla procedura in oggetto.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15"/>
        </w:tabs>
        <w:spacing w:after="0" w:before="0" w:line="240" w:lineRule="auto"/>
        <w:ind w:left="114" w:right="113" w:hanging="0.9999999999999964"/>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si impegna a rendere noti, su richiesta dell’Università Iuav di Venezia, tutti i pagamenti eseguiti e riguardanti il contratto eventualmente assegnatole a seguito della gara in oggetto, compresi quelli eseguiti a favore di intermediari e consulenti. La remunerazione di questi ultimi non deve superare il “congruo ammontare dovuto per i servizi legittimi”.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26"/>
        </w:tabs>
        <w:spacing w:after="0" w:before="0" w:line="240" w:lineRule="auto"/>
        <w:ind w:left="114" w:right="11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L’Operatore Economico si obbliga a informare tutto il personale di cui si avvale, del presente Patto d’Integrità e degli obblighi in esso contenuti e a vigilare affinché gli impegni di cui al presente Patto siano osservati da tutti i collaboratori e dipendenti nell’esercizio dei compiti a loro assegnati. L’Operatore si obbliga altresì a inserire identiche clausole d’integrità e anticorruzione nei contratti di subappalto ed è consapevole che, in caso contrario, l’eventuale provvedimento di autorizzazione non sarà concesso.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ind w:right="3088" w:firstLine="3089"/>
        <w:rPr/>
      </w:pPr>
      <w:r w:rsidDel="00000000" w:rsidR="00000000" w:rsidRPr="00000000">
        <w:rPr>
          <w:rtl w:val="0"/>
        </w:rPr>
        <w:t xml:space="preserve">Articolo 3 (Violazione del Patto di Integrità)</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11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L’Operatore economico prende atto e accetta che, nel caso in cui venga accertato da parte dell’Università, all’esito di un procedimento di verifica in contradditorio, il mancato rispetto degli impegni assunti con il presente Patto di Integrità possano essere applicate, tenuto conto del caso concreto e della gravità della condotta e ferme restando le più gravi e ulteriori sanzioni previste dalla legge, le seguenti sanzioni, in via alternativa e/o cumulativa:</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40" w:lineRule="auto"/>
        <w:ind w:left="474" w:right="113" w:hanging="360"/>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esclusione dalla procedura in caso di mancata consegna dello stesso, debitamente sottoscritto, unitamente all’offerta presentata;</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revoca dell’aggiudicazione;</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escussione della cauzione provvisoria;</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escussione della cauzione definitiva, impregiudicata la prova dell’esistenza di un danno maggiore;</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risoluzione del contratto;</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1"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esclusione per tre anni dalla partecipazione a gare indette da Iuav;</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cancellazione dall'Albo/Elenco fornitori Iuav, ove costituito, per tre anni;</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 w:val="left" w:leader="none" w:pos="475"/>
        </w:tabs>
        <w:spacing w:after="0" w:before="0" w:line="207" w:lineRule="auto"/>
        <w:ind w:left="474" w:right="0" w:hanging="361"/>
        <w:jc w:val="left"/>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segnalazione del fatto all’ANAC per l’iscrizione nel casellario informatico ed alle competenti autorità;</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5"/>
        </w:tabs>
        <w:spacing w:after="0" w:before="0" w:line="240" w:lineRule="auto"/>
        <w:ind w:left="474" w:right="112" w:hanging="360"/>
        <w:jc w:val="both"/>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responsabilità per danno arrecato agli altri concorrenti della gara fino al 5% del valore dell’importo a base di gare/contratto in relazione alla gravità della violazione, sempre impregiudicata la prova dell’esistenza di un danno maggiore.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spacing w:before="156" w:lineRule="auto"/>
        <w:ind w:left="3088" w:right="3088" w:firstLine="0"/>
        <w:rPr/>
      </w:pPr>
      <w:r w:rsidDel="00000000" w:rsidR="00000000" w:rsidRPr="00000000">
        <w:rPr>
          <w:rtl w:val="0"/>
        </w:rPr>
        <w:t xml:space="preserve">Articolo 4 (Efficacia del Patto di Integrità)</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8"/>
        </w:tabs>
        <w:spacing w:after="0" w:before="0" w:line="240" w:lineRule="auto"/>
        <w:ind w:left="114" w:right="11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presente Patto di Integrità deve essere obbligatoriamente sottoscritto in calce dal legale rappresentante dell’Impresa e, in caso di concorrente costituito da R.T.I. o da Consorzio non ancora costituiti, da tutti i soggetti che costituiranno, in seguito, i predetti R.T.I. o Consorzio e deve essere consegnato unitamente alla documentazione amministrativa richiesta ai fini della partecipazione alla procedura in oggetto.</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90"/>
        </w:tabs>
        <w:spacing w:after="0" w:before="179" w:line="240" w:lineRule="auto"/>
        <w:ind w:left="114" w:right="115"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mancata produzione del presente Patto di integrità eventualmente riscontrata in fase di controllo della documentazione amministrativa della procedura, è regolarizzabile attraverso la procedura di soccorso istruttorio di cui all’art. 83, comma 9 del d.lgs. n. 50/2016.</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2"/>
        </w:tabs>
        <w:spacing w:after="0" w:before="0" w:line="240" w:lineRule="auto"/>
        <w:ind w:left="114" w:right="11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Il presente Patto di Integrità resterà in vigore sino alla completa esecuzione del contratto stipulato a seguito della procedura in oggetto, e sino alla data della scadenza del periodo di garanzia di quanto fornito.</w:t>
      </w:r>
    </w:p>
    <w:p w:rsidR="00000000" w:rsidDel="00000000" w:rsidP="00000000" w:rsidRDefault="00000000" w:rsidRPr="00000000" w14:paraId="0000004F">
      <w:pPr>
        <w:pStyle w:val="Heading1"/>
        <w:spacing w:before="179" w:lineRule="auto"/>
        <w:ind w:left="3088" w:right="3088" w:firstLine="0"/>
        <w:rPr/>
      </w:pPr>
      <w:r w:rsidDel="00000000" w:rsidR="00000000" w:rsidRPr="00000000">
        <w:rPr>
          <w:rtl w:val="0"/>
        </w:rPr>
        <w:t xml:space="preserve">Articolo 5 (Foro competente)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4" w:firstLine="0"/>
        <w:jc w:val="both"/>
        <w:rPr>
          <w:rFonts w:ascii="Arial MT" w:cs="Arial MT" w:eastAsia="Arial MT" w:hAnsi="Arial MT"/>
          <w:b w:val="0"/>
          <w:i w:val="0"/>
          <w:smallCaps w:val="0"/>
          <w:strike w:val="0"/>
          <w:color w:val="000000"/>
          <w:sz w:val="18"/>
          <w:szCs w:val="18"/>
          <w:u w:val="none"/>
          <w:shd w:fill="auto" w:val="clear"/>
          <w:vertAlign w:val="baseline"/>
        </w:rPr>
        <w:sectPr>
          <w:type w:val="nextPage"/>
          <w:pgSz w:h="16840" w:w="11910" w:orient="portrait"/>
          <w:pgMar w:bottom="920" w:top="1320" w:left="1020" w:right="1020" w:header="0" w:footer="734"/>
        </w:sect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Ogni controversia relativa all’interpretazione ed esecuzione o mancata esecuzione del presente Patto di Integrità fra l’Università Iuav di Venezia e i concorrenti e tra gli stessi concorrenti sarà risolta dal Foro di Venezia.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6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[Luogo e Data]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Per l’impresa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8" w:lineRule="auto"/>
        <w:ind w:left="114" w:right="639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Il legale rappresentante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40" w:w="11910" w:orient="portrait"/>
      <w:pgMar w:bottom="920" w:top="1320" w:left="1020" w:right="1020" w:header="0" w:footer="7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5562600</wp:posOffset>
              </wp:positionH>
              <wp:positionV relativeFrom="paragraph">
                <wp:posOffset>10071100</wp:posOffset>
              </wp:positionV>
              <wp:extent cx="678815" cy="174625"/>
              <wp:effectExtent b="0" l="0" r="0" t="0"/>
              <wp:wrapNone/>
              <wp:docPr id="2" name=""/>
              <a:graphic>
                <a:graphicData uri="http://schemas.microsoft.com/office/word/2010/wordprocessingShape">
                  <wps:wsp>
                    <wps:cNvSpPr/>
                    <wps:cNvPr id="2" name="Shape 2"/>
                    <wps:spPr>
                      <a:xfrm>
                        <a:off x="5011355" y="3697450"/>
                        <a:ext cx="669290" cy="165100"/>
                      </a:xfrm>
                      <a:prstGeom prst="rect">
                        <a:avLst/>
                      </a:prstGeom>
                      <a:noFill/>
                      <a:ln>
                        <a:noFill/>
                      </a:ln>
                    </wps:spPr>
                    <wps:txbx>
                      <w:txbxContent>
                        <w:p w:rsidR="00000000" w:rsidDel="00000000" w:rsidP="00000000" w:rsidRDefault="00000000" w:rsidRPr="00000000">
                          <w:pPr>
                            <w:spacing w:after="0" w:before="0" w:line="243.99999618530273"/>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pagina  PAGE 3/3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5562600</wp:posOffset>
              </wp:positionH>
              <wp:positionV relativeFrom="paragraph">
                <wp:posOffset>10071100</wp:posOffset>
              </wp:positionV>
              <wp:extent cx="678815" cy="1746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8815" cy="1746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 w:hanging="99"/>
      </w:pPr>
      <w:rPr>
        <w:rFonts w:ascii="Arial MT" w:cs="Arial MT" w:eastAsia="Arial MT" w:hAnsi="Arial MT"/>
        <w:sz w:val="18"/>
        <w:szCs w:val="18"/>
      </w:rPr>
    </w:lvl>
    <w:lvl w:ilvl="1">
      <w:start w:val="0"/>
      <w:numFmt w:val="bullet"/>
      <w:lvlText w:val="•"/>
      <w:lvlJc w:val="left"/>
      <w:pPr>
        <w:ind w:left="1094" w:hanging="99"/>
      </w:pPr>
      <w:rPr/>
    </w:lvl>
    <w:lvl w:ilvl="2">
      <w:start w:val="0"/>
      <w:numFmt w:val="bullet"/>
      <w:lvlText w:val="•"/>
      <w:lvlJc w:val="left"/>
      <w:pPr>
        <w:ind w:left="2069" w:hanging="99"/>
      </w:pPr>
      <w:rPr/>
    </w:lvl>
    <w:lvl w:ilvl="3">
      <w:start w:val="0"/>
      <w:numFmt w:val="bullet"/>
      <w:lvlText w:val="•"/>
      <w:lvlJc w:val="left"/>
      <w:pPr>
        <w:ind w:left="3043" w:hanging="98.99999999999955"/>
      </w:pPr>
      <w:rPr/>
    </w:lvl>
    <w:lvl w:ilvl="4">
      <w:start w:val="0"/>
      <w:numFmt w:val="bullet"/>
      <w:lvlText w:val="•"/>
      <w:lvlJc w:val="left"/>
      <w:pPr>
        <w:ind w:left="4018" w:hanging="98.99999999999955"/>
      </w:pPr>
      <w:rPr/>
    </w:lvl>
    <w:lvl w:ilvl="5">
      <w:start w:val="0"/>
      <w:numFmt w:val="bullet"/>
      <w:lvlText w:val="•"/>
      <w:lvlJc w:val="left"/>
      <w:pPr>
        <w:ind w:left="4993" w:hanging="99"/>
      </w:pPr>
      <w:rPr/>
    </w:lvl>
    <w:lvl w:ilvl="6">
      <w:start w:val="0"/>
      <w:numFmt w:val="bullet"/>
      <w:lvlText w:val="•"/>
      <w:lvlJc w:val="left"/>
      <w:pPr>
        <w:ind w:left="5967" w:hanging="98.99999999999909"/>
      </w:pPr>
      <w:rPr/>
    </w:lvl>
    <w:lvl w:ilvl="7">
      <w:start w:val="0"/>
      <w:numFmt w:val="bullet"/>
      <w:lvlText w:val="•"/>
      <w:lvlJc w:val="left"/>
      <w:pPr>
        <w:ind w:left="6942" w:hanging="98.99999999999909"/>
      </w:pPr>
      <w:rPr/>
    </w:lvl>
    <w:lvl w:ilvl="8">
      <w:start w:val="0"/>
      <w:numFmt w:val="bullet"/>
      <w:lvlText w:val="•"/>
      <w:lvlJc w:val="left"/>
      <w:pPr>
        <w:ind w:left="7917" w:hanging="98.99999999999909"/>
      </w:pPr>
      <w:rPr/>
    </w:lvl>
  </w:abstractNum>
  <w:abstractNum w:abstractNumId="2">
    <w:lvl w:ilvl="0">
      <w:start w:val="1"/>
      <w:numFmt w:val="decimal"/>
      <w:lvlText w:val="%1."/>
      <w:lvlJc w:val="left"/>
      <w:pPr>
        <w:ind w:left="114" w:hanging="203"/>
      </w:pPr>
      <w:rPr>
        <w:rFonts w:ascii="Arial MT" w:cs="Arial MT" w:eastAsia="Arial MT" w:hAnsi="Arial MT"/>
        <w:sz w:val="18"/>
        <w:szCs w:val="18"/>
      </w:rPr>
    </w:lvl>
    <w:lvl w:ilvl="1">
      <w:start w:val="0"/>
      <w:numFmt w:val="bullet"/>
      <w:lvlText w:val="•"/>
      <w:lvlJc w:val="left"/>
      <w:pPr>
        <w:ind w:left="1094" w:hanging="202.9999999999999"/>
      </w:pPr>
      <w:rPr/>
    </w:lvl>
    <w:lvl w:ilvl="2">
      <w:start w:val="0"/>
      <w:numFmt w:val="bullet"/>
      <w:lvlText w:val="•"/>
      <w:lvlJc w:val="left"/>
      <w:pPr>
        <w:ind w:left="2069" w:hanging="203"/>
      </w:pPr>
      <w:rPr/>
    </w:lvl>
    <w:lvl w:ilvl="3">
      <w:start w:val="0"/>
      <w:numFmt w:val="bullet"/>
      <w:lvlText w:val="•"/>
      <w:lvlJc w:val="left"/>
      <w:pPr>
        <w:ind w:left="3043" w:hanging="203"/>
      </w:pPr>
      <w:rPr/>
    </w:lvl>
    <w:lvl w:ilvl="4">
      <w:start w:val="0"/>
      <w:numFmt w:val="bullet"/>
      <w:lvlText w:val="•"/>
      <w:lvlJc w:val="left"/>
      <w:pPr>
        <w:ind w:left="4018" w:hanging="203"/>
      </w:pPr>
      <w:rPr/>
    </w:lvl>
    <w:lvl w:ilvl="5">
      <w:start w:val="0"/>
      <w:numFmt w:val="bullet"/>
      <w:lvlText w:val="•"/>
      <w:lvlJc w:val="left"/>
      <w:pPr>
        <w:ind w:left="4993" w:hanging="203"/>
      </w:pPr>
      <w:rPr/>
    </w:lvl>
    <w:lvl w:ilvl="6">
      <w:start w:val="0"/>
      <w:numFmt w:val="bullet"/>
      <w:lvlText w:val="•"/>
      <w:lvlJc w:val="left"/>
      <w:pPr>
        <w:ind w:left="5967" w:hanging="202.9999999999991"/>
      </w:pPr>
      <w:rPr/>
    </w:lvl>
    <w:lvl w:ilvl="7">
      <w:start w:val="0"/>
      <w:numFmt w:val="bullet"/>
      <w:lvlText w:val="•"/>
      <w:lvlJc w:val="left"/>
      <w:pPr>
        <w:ind w:left="6942" w:hanging="202.9999999999991"/>
      </w:pPr>
      <w:rPr/>
    </w:lvl>
    <w:lvl w:ilvl="8">
      <w:start w:val="0"/>
      <w:numFmt w:val="bullet"/>
      <w:lvlText w:val="•"/>
      <w:lvlJc w:val="left"/>
      <w:pPr>
        <w:ind w:left="7917" w:hanging="202.9999999999991"/>
      </w:pPr>
      <w:rPr/>
    </w:lvl>
  </w:abstractNum>
  <w:abstractNum w:abstractNumId="3">
    <w:lvl w:ilvl="0">
      <w:start w:val="1"/>
      <w:numFmt w:val="decimal"/>
      <w:lvlText w:val="%1."/>
      <w:lvlJc w:val="left"/>
      <w:pPr>
        <w:ind w:left="114" w:hanging="207"/>
      </w:pPr>
      <w:rPr>
        <w:rFonts w:ascii="Arial MT" w:cs="Arial MT" w:eastAsia="Arial MT" w:hAnsi="Arial MT"/>
        <w:sz w:val="18"/>
        <w:szCs w:val="18"/>
      </w:rPr>
    </w:lvl>
    <w:lvl w:ilvl="1">
      <w:start w:val="0"/>
      <w:numFmt w:val="bullet"/>
      <w:lvlText w:val="•"/>
      <w:lvlJc w:val="left"/>
      <w:pPr>
        <w:ind w:left="1094" w:hanging="207"/>
      </w:pPr>
      <w:rPr/>
    </w:lvl>
    <w:lvl w:ilvl="2">
      <w:start w:val="0"/>
      <w:numFmt w:val="bullet"/>
      <w:lvlText w:val="•"/>
      <w:lvlJc w:val="left"/>
      <w:pPr>
        <w:ind w:left="2069" w:hanging="206.99999999999977"/>
      </w:pPr>
      <w:rPr/>
    </w:lvl>
    <w:lvl w:ilvl="3">
      <w:start w:val="0"/>
      <w:numFmt w:val="bullet"/>
      <w:lvlText w:val="•"/>
      <w:lvlJc w:val="left"/>
      <w:pPr>
        <w:ind w:left="3043" w:hanging="207"/>
      </w:pPr>
      <w:rPr/>
    </w:lvl>
    <w:lvl w:ilvl="4">
      <w:start w:val="0"/>
      <w:numFmt w:val="bullet"/>
      <w:lvlText w:val="•"/>
      <w:lvlJc w:val="left"/>
      <w:pPr>
        <w:ind w:left="4018" w:hanging="207"/>
      </w:pPr>
      <w:rPr/>
    </w:lvl>
    <w:lvl w:ilvl="5">
      <w:start w:val="0"/>
      <w:numFmt w:val="bullet"/>
      <w:lvlText w:val="•"/>
      <w:lvlJc w:val="left"/>
      <w:pPr>
        <w:ind w:left="4993" w:hanging="207"/>
      </w:pPr>
      <w:rPr/>
    </w:lvl>
    <w:lvl w:ilvl="6">
      <w:start w:val="0"/>
      <w:numFmt w:val="bullet"/>
      <w:lvlText w:val="•"/>
      <w:lvlJc w:val="left"/>
      <w:pPr>
        <w:ind w:left="5967" w:hanging="207"/>
      </w:pPr>
      <w:rPr/>
    </w:lvl>
    <w:lvl w:ilvl="7">
      <w:start w:val="0"/>
      <w:numFmt w:val="bullet"/>
      <w:lvlText w:val="•"/>
      <w:lvlJc w:val="left"/>
      <w:pPr>
        <w:ind w:left="6942" w:hanging="207"/>
      </w:pPr>
      <w:rPr/>
    </w:lvl>
    <w:lvl w:ilvl="8">
      <w:start w:val="0"/>
      <w:numFmt w:val="bullet"/>
      <w:lvlText w:val="•"/>
      <w:lvlJc w:val="left"/>
      <w:pPr>
        <w:ind w:left="7917" w:hanging="207"/>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89"/>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4" w:lineRule="auto"/>
      <w:ind w:left="20"/>
    </w:pPr>
    <w:rPr>
      <w:rFonts w:ascii="Calibri" w:cs="Calibri" w:eastAsia="Calibri" w:hAnsi="Calibri"/>
    </w:rPr>
  </w:style>
  <w:style w:type="paragraph" w:styleId="Normale" w:default="1">
    <w:name w:val="Normal"/>
    <w:uiPriority w:val="1"/>
    <w:qFormat w:val="1"/>
    <w:rPr>
      <w:rFonts w:ascii="Arial MT" w:cs="Arial MT" w:eastAsia="Arial MT" w:hAnsi="Arial MT"/>
      <w:lang w:val="it-IT"/>
    </w:rPr>
  </w:style>
  <w:style w:type="paragraph" w:styleId="Titolo1">
    <w:name w:val="heading 1"/>
    <w:basedOn w:val="Normale"/>
    <w:uiPriority w:val="1"/>
    <w:qFormat w:val="1"/>
    <w:pPr>
      <w:ind w:left="3089"/>
      <w:jc w:val="center"/>
      <w:outlineLvl w:val="0"/>
    </w:pPr>
    <w:rPr>
      <w:rFonts w:ascii="Arial" w:cs="Arial" w:eastAsia="Arial" w:hAnsi="Arial"/>
      <w:b w:val="1"/>
      <w:bCs w:val="1"/>
      <w:sz w:val="18"/>
      <w:szCs w:val="1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8"/>
      <w:szCs w:val="18"/>
    </w:rPr>
  </w:style>
  <w:style w:type="paragraph" w:styleId="Titolo">
    <w:name w:val="Title"/>
    <w:basedOn w:val="Normale"/>
    <w:uiPriority w:val="1"/>
    <w:qFormat w:val="1"/>
    <w:pPr>
      <w:spacing w:line="244" w:lineRule="exact"/>
      <w:ind w:left="20"/>
    </w:pPr>
    <w:rPr>
      <w:rFonts w:ascii="Calibri" w:cs="Calibri" w:eastAsia="Calibri" w:hAnsi="Calibri"/>
    </w:rPr>
  </w:style>
  <w:style w:type="paragraph" w:styleId="Paragrafoelenco">
    <w:name w:val="List Paragraph"/>
    <w:basedOn w:val="Normale"/>
    <w:uiPriority w:val="1"/>
    <w:qFormat w:val="1"/>
    <w:pPr>
      <w:ind w:left="114"/>
      <w:jc w:val="both"/>
    </w:pPr>
  </w:style>
  <w:style w:type="paragraph" w:styleId="TableParagraph" w:customStyle="1">
    <w:name w:val="Table Paragraph"/>
    <w:basedOn w:val="Normale"/>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THZlFTQ79am+eWBgmpZpkd31A==">CgMxLjA4AHIhMTYxZGFHTlFEN2MybXhlLUZyQVN3Tm5sUUNSaWhUTVBT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2023-06-23T10:55:00Z</dcterms:created>
  <dc:creator>Valentina Garuzzo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Acrobat PDFMaker 22 per Word</vt:lpwstr>
  </property>
  <property fmtid="{D5CDD505-2E9C-101B-9397-08002B2CF9AE}" pid="4" name="LastSaved">
    <vt:filetime>2023-05-25T00:00:00Z</vt:filetime>
  </property>
</Properties>
</file>